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SEO-продвижение сайтов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29 сентября 2023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29 сентября 2023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